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3E8" w:rsidRDefault="006C13E8" w:rsidP="00D34C1D">
      <w:pPr>
        <w:tabs>
          <w:tab w:val="right" w:pos="270"/>
        </w:tabs>
        <w:spacing w:after="120"/>
        <w:ind w:left="360" w:hanging="360"/>
        <w:jc w:val="both"/>
        <w:rPr>
          <w:snapToGrid w:val="0"/>
        </w:rPr>
      </w:pPr>
      <w:r>
        <w:rPr>
          <w:snapToGrid w:val="0"/>
        </w:rPr>
        <w:t>Homework B, chapter 11 and 11W</w:t>
      </w:r>
      <w:r w:rsidR="00D34C1D" w:rsidRPr="00353655">
        <w:rPr>
          <w:snapToGrid w:val="0"/>
        </w:rPr>
        <w:tab/>
      </w:r>
      <w:r w:rsidR="007C6C6D">
        <w:rPr>
          <w:snapToGrid w:val="0"/>
        </w:rPr>
        <w:t xml:space="preserve"> 15 points</w:t>
      </w:r>
      <w:bookmarkStart w:id="0" w:name="_GoBack"/>
      <w:bookmarkEnd w:id="0"/>
    </w:p>
    <w:p w:rsidR="00D34C1D" w:rsidRDefault="006C13E8" w:rsidP="00D34C1D">
      <w:pPr>
        <w:tabs>
          <w:tab w:val="right" w:pos="270"/>
        </w:tabs>
        <w:spacing w:after="120"/>
        <w:ind w:left="360" w:hanging="360"/>
        <w:jc w:val="both"/>
        <w:rPr>
          <w:snapToGrid w:val="0"/>
        </w:rPr>
      </w:pPr>
      <w:r>
        <w:rPr>
          <w:snapToGrid w:val="0"/>
        </w:rPr>
        <w:t>1</w:t>
      </w:r>
      <w:r w:rsidR="00D34C1D" w:rsidRPr="00353655">
        <w:rPr>
          <w:snapToGrid w:val="0"/>
        </w:rPr>
        <w:t>.</w:t>
      </w:r>
      <w:r w:rsidR="00D34C1D" w:rsidRPr="00353655">
        <w:rPr>
          <w:snapToGrid w:val="0"/>
        </w:rPr>
        <w:tab/>
        <w:t xml:space="preserve">The kinked-demand schedule that an </w:t>
      </w:r>
      <w:proofErr w:type="spellStart"/>
      <w:r w:rsidR="00D34C1D" w:rsidRPr="00353655">
        <w:rPr>
          <w:snapToGrid w:val="0"/>
        </w:rPr>
        <w:t>oligopolist</w:t>
      </w:r>
      <w:proofErr w:type="spellEnd"/>
      <w:r w:rsidR="00D34C1D" w:rsidRPr="00353655">
        <w:rPr>
          <w:snapToGrid w:val="0"/>
        </w:rPr>
        <w:t xml:space="preserve"> believes confronts the firm is given in the table below.  Compute the </w:t>
      </w:r>
      <w:proofErr w:type="spellStart"/>
      <w:r w:rsidR="00D34C1D" w:rsidRPr="00353655">
        <w:rPr>
          <w:snapToGrid w:val="0"/>
        </w:rPr>
        <w:t>oligopolist’s</w:t>
      </w:r>
      <w:proofErr w:type="spellEnd"/>
      <w:r w:rsidR="00D34C1D" w:rsidRPr="00353655">
        <w:rPr>
          <w:snapToGrid w:val="0"/>
        </w:rPr>
        <w:t xml:space="preserve"> total revenue at each of the nine prices, and enter these figures in the table.  Also compute marginal revenue </w:t>
      </w:r>
      <w:r w:rsidR="00D34C1D" w:rsidRPr="00353655">
        <w:rPr>
          <w:i/>
          <w:snapToGrid w:val="0"/>
        </w:rPr>
        <w:t>for each unit</w:t>
      </w:r>
      <w:r w:rsidR="00D34C1D" w:rsidRPr="00353655">
        <w:rPr>
          <w:snapToGrid w:val="0"/>
        </w:rPr>
        <w:t xml:space="preserve"> between the nine prices and enter these figures in the table.</w:t>
      </w:r>
    </w:p>
    <w:tbl>
      <w:tblPr>
        <w:tblW w:w="3453" w:type="dxa"/>
        <w:tblInd w:w="360" w:type="dxa"/>
        <w:tblCellMar>
          <w:top w:w="43" w:type="dxa"/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753"/>
        <w:gridCol w:w="964"/>
        <w:gridCol w:w="865"/>
        <w:gridCol w:w="871"/>
      </w:tblGrid>
      <w:tr w:rsidR="00D34C1D" w:rsidRPr="00FD1630" w:rsidTr="000178B4"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bottom w:w="14" w:type="dxa"/>
            </w:tcMar>
            <w:vAlign w:val="bottom"/>
          </w:tcPr>
          <w:p w:rsidR="00D34C1D" w:rsidRDefault="00D34C1D" w:rsidP="000178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34C1D" w:rsidRPr="00FD1630" w:rsidRDefault="00D34C1D" w:rsidP="000178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Price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bottom w:w="14" w:type="dxa"/>
            </w:tcMar>
            <w:vAlign w:val="bottom"/>
          </w:tcPr>
          <w:p w:rsidR="00D34C1D" w:rsidRPr="00FD1630" w:rsidRDefault="00D34C1D" w:rsidP="000178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Quantity demanded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bottom w:w="14" w:type="dxa"/>
            </w:tcMar>
            <w:vAlign w:val="bottom"/>
          </w:tcPr>
          <w:p w:rsidR="00D34C1D" w:rsidRPr="00FD1630" w:rsidRDefault="00D34C1D" w:rsidP="000178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revenue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34C1D" w:rsidRDefault="00D34C1D" w:rsidP="000178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Marginal revenue per unit</w:t>
            </w:r>
          </w:p>
        </w:tc>
      </w:tr>
      <w:tr w:rsidR="00D34C1D" w:rsidRPr="00FD1630" w:rsidTr="000178B4">
        <w:tc>
          <w:tcPr>
            <w:tcW w:w="7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6" w:type="dxa"/>
              <w:left w:w="29" w:type="dxa"/>
              <w:bottom w:w="29" w:type="dxa"/>
            </w:tcMar>
            <w:vAlign w:val="bottom"/>
          </w:tcPr>
          <w:p w:rsidR="00D34C1D" w:rsidRPr="00FD1630" w:rsidRDefault="00D34C1D" w:rsidP="000178B4">
            <w:pPr>
              <w:tabs>
                <w:tab w:val="decimal" w:pos="317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$5.80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6" w:type="dxa"/>
              <w:left w:w="29" w:type="dxa"/>
              <w:bottom w:w="29" w:type="dxa"/>
            </w:tcMar>
            <w:vAlign w:val="bottom"/>
          </w:tcPr>
          <w:p w:rsidR="00D34C1D" w:rsidRPr="00FD1630" w:rsidRDefault="00D34C1D" w:rsidP="000178B4">
            <w:pPr>
              <w:tabs>
                <w:tab w:val="decimal" w:pos="601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6" w:type="dxa"/>
              <w:left w:w="29" w:type="dxa"/>
              <w:bottom w:w="29" w:type="dxa"/>
            </w:tcMar>
            <w:vAlign w:val="bottom"/>
          </w:tcPr>
          <w:p w:rsidR="00D34C1D" w:rsidRPr="00FD1630" w:rsidRDefault="00D34C1D" w:rsidP="000178B4">
            <w:pPr>
              <w:tabs>
                <w:tab w:val="decimal" w:pos="619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$_____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86" w:type="dxa"/>
              <w:left w:w="29" w:type="dxa"/>
              <w:bottom w:w="29" w:type="dxa"/>
            </w:tcMar>
          </w:tcPr>
          <w:p w:rsidR="00D34C1D" w:rsidRDefault="00D34C1D" w:rsidP="000178B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4C1D" w:rsidRPr="00FD1630" w:rsidTr="000178B4"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29" w:type="dxa"/>
            </w:tcMar>
            <w:vAlign w:val="bottom"/>
          </w:tcPr>
          <w:p w:rsidR="00D34C1D" w:rsidRPr="00FD1630" w:rsidRDefault="00D34C1D" w:rsidP="000178B4">
            <w:pPr>
              <w:tabs>
                <w:tab w:val="decimal" w:pos="317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5.60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29" w:type="dxa"/>
            </w:tcMar>
            <w:vAlign w:val="bottom"/>
          </w:tcPr>
          <w:p w:rsidR="00D34C1D" w:rsidRPr="00FD1630" w:rsidRDefault="00D34C1D" w:rsidP="000178B4">
            <w:pPr>
              <w:tabs>
                <w:tab w:val="decimal" w:pos="601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29" w:type="dxa"/>
            </w:tcMar>
            <w:vAlign w:val="bottom"/>
          </w:tcPr>
          <w:p w:rsidR="00D34C1D" w:rsidRPr="00FD1630" w:rsidRDefault="00D34C1D" w:rsidP="000178B4">
            <w:pPr>
              <w:tabs>
                <w:tab w:val="decimal" w:pos="619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tcMar>
              <w:left w:w="29" w:type="dxa"/>
              <w:bottom w:w="29" w:type="dxa"/>
            </w:tcMar>
          </w:tcPr>
          <w:p w:rsidR="00D34C1D" w:rsidRDefault="00D34C1D" w:rsidP="000178B4">
            <w:pPr>
              <w:tabs>
                <w:tab w:val="decimal" w:pos="63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$_____</w:t>
            </w:r>
          </w:p>
        </w:tc>
      </w:tr>
      <w:tr w:rsidR="00D34C1D" w:rsidRPr="00FD1630" w:rsidTr="000178B4"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29" w:type="dxa"/>
            </w:tcMar>
            <w:vAlign w:val="bottom"/>
          </w:tcPr>
          <w:p w:rsidR="00D34C1D" w:rsidRPr="00FD1630" w:rsidRDefault="00D34C1D" w:rsidP="000178B4">
            <w:pPr>
              <w:tabs>
                <w:tab w:val="decimal" w:pos="317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5.40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29" w:type="dxa"/>
            </w:tcMar>
            <w:vAlign w:val="bottom"/>
          </w:tcPr>
          <w:p w:rsidR="00D34C1D" w:rsidRPr="00FD1630" w:rsidRDefault="00D34C1D" w:rsidP="000178B4">
            <w:pPr>
              <w:tabs>
                <w:tab w:val="decimal" w:pos="601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29" w:type="dxa"/>
            </w:tcMar>
            <w:vAlign w:val="bottom"/>
          </w:tcPr>
          <w:p w:rsidR="00D34C1D" w:rsidRPr="00FD1630" w:rsidRDefault="00D34C1D" w:rsidP="000178B4">
            <w:pPr>
              <w:tabs>
                <w:tab w:val="decimal" w:pos="619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tcMar>
              <w:left w:w="29" w:type="dxa"/>
              <w:bottom w:w="29" w:type="dxa"/>
            </w:tcMar>
          </w:tcPr>
          <w:p w:rsidR="00D34C1D" w:rsidRDefault="00D34C1D" w:rsidP="000178B4">
            <w:pPr>
              <w:tabs>
                <w:tab w:val="decimal" w:pos="63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</w:t>
            </w:r>
          </w:p>
        </w:tc>
      </w:tr>
      <w:tr w:rsidR="00D34C1D" w:rsidRPr="00FD1630" w:rsidTr="000178B4"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29" w:type="dxa"/>
            </w:tcMar>
            <w:vAlign w:val="bottom"/>
          </w:tcPr>
          <w:p w:rsidR="00D34C1D" w:rsidRPr="00FD1630" w:rsidRDefault="00D34C1D" w:rsidP="000178B4">
            <w:pPr>
              <w:tabs>
                <w:tab w:val="decimal" w:pos="317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29" w:type="dxa"/>
            </w:tcMar>
            <w:vAlign w:val="bottom"/>
          </w:tcPr>
          <w:p w:rsidR="00D34C1D" w:rsidRPr="00FD1630" w:rsidRDefault="00D34C1D" w:rsidP="000178B4">
            <w:pPr>
              <w:tabs>
                <w:tab w:val="decimal" w:pos="601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29" w:type="dxa"/>
            </w:tcMar>
            <w:vAlign w:val="bottom"/>
          </w:tcPr>
          <w:p w:rsidR="00D34C1D" w:rsidRPr="00FD1630" w:rsidRDefault="00D34C1D" w:rsidP="000178B4">
            <w:pPr>
              <w:tabs>
                <w:tab w:val="decimal" w:pos="619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tcMar>
              <w:left w:w="29" w:type="dxa"/>
              <w:bottom w:w="29" w:type="dxa"/>
            </w:tcMar>
          </w:tcPr>
          <w:p w:rsidR="00D34C1D" w:rsidRDefault="00D34C1D" w:rsidP="000178B4">
            <w:pPr>
              <w:tabs>
                <w:tab w:val="decimal" w:pos="63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</w:t>
            </w:r>
          </w:p>
        </w:tc>
      </w:tr>
      <w:tr w:rsidR="00D34C1D" w:rsidRPr="00FD1630" w:rsidTr="000178B4"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29" w:type="dxa"/>
            </w:tcMar>
            <w:vAlign w:val="bottom"/>
          </w:tcPr>
          <w:p w:rsidR="00D34C1D" w:rsidRPr="00FD1630" w:rsidRDefault="00D34C1D" w:rsidP="000178B4">
            <w:pPr>
              <w:tabs>
                <w:tab w:val="decimal" w:pos="317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5.00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29" w:type="dxa"/>
            </w:tcMar>
            <w:vAlign w:val="bottom"/>
          </w:tcPr>
          <w:p w:rsidR="00D34C1D" w:rsidRPr="00FD1630" w:rsidRDefault="00D34C1D" w:rsidP="000178B4">
            <w:pPr>
              <w:tabs>
                <w:tab w:val="decimal" w:pos="601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29" w:type="dxa"/>
            </w:tcMar>
            <w:vAlign w:val="bottom"/>
          </w:tcPr>
          <w:p w:rsidR="00D34C1D" w:rsidRPr="00FD1630" w:rsidRDefault="00D34C1D" w:rsidP="000178B4">
            <w:pPr>
              <w:tabs>
                <w:tab w:val="decimal" w:pos="619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tcMar>
              <w:left w:w="29" w:type="dxa"/>
              <w:bottom w:w="29" w:type="dxa"/>
            </w:tcMar>
          </w:tcPr>
          <w:p w:rsidR="00D34C1D" w:rsidRDefault="00D34C1D" w:rsidP="000178B4">
            <w:pPr>
              <w:tabs>
                <w:tab w:val="decimal" w:pos="63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</w:t>
            </w:r>
          </w:p>
        </w:tc>
      </w:tr>
      <w:tr w:rsidR="00D34C1D" w:rsidRPr="00FD1630" w:rsidTr="000178B4"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29" w:type="dxa"/>
            </w:tcMar>
            <w:vAlign w:val="bottom"/>
          </w:tcPr>
          <w:p w:rsidR="00D34C1D" w:rsidRDefault="00D34C1D" w:rsidP="000178B4">
            <w:pPr>
              <w:tabs>
                <w:tab w:val="decimal" w:pos="317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4.80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29" w:type="dxa"/>
            </w:tcMar>
            <w:vAlign w:val="bottom"/>
          </w:tcPr>
          <w:p w:rsidR="00D34C1D" w:rsidRDefault="00D34C1D" w:rsidP="000178B4">
            <w:pPr>
              <w:tabs>
                <w:tab w:val="decimal" w:pos="601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29" w:type="dxa"/>
            </w:tcMar>
            <w:vAlign w:val="bottom"/>
          </w:tcPr>
          <w:p w:rsidR="00D34C1D" w:rsidRDefault="00D34C1D" w:rsidP="000178B4">
            <w:pPr>
              <w:tabs>
                <w:tab w:val="decimal" w:pos="619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tcMar>
              <w:left w:w="29" w:type="dxa"/>
              <w:bottom w:w="29" w:type="dxa"/>
            </w:tcMar>
          </w:tcPr>
          <w:p w:rsidR="00D34C1D" w:rsidRDefault="00D34C1D" w:rsidP="000178B4">
            <w:pPr>
              <w:tabs>
                <w:tab w:val="decimal" w:pos="63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</w:t>
            </w:r>
          </w:p>
        </w:tc>
      </w:tr>
      <w:tr w:rsidR="00D34C1D" w:rsidRPr="00FD1630" w:rsidTr="000178B4"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29" w:type="dxa"/>
            </w:tcMar>
            <w:vAlign w:val="bottom"/>
          </w:tcPr>
          <w:p w:rsidR="00D34C1D" w:rsidRDefault="00D34C1D" w:rsidP="000178B4">
            <w:pPr>
              <w:tabs>
                <w:tab w:val="decimal" w:pos="317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4.60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29" w:type="dxa"/>
            </w:tcMar>
            <w:vAlign w:val="bottom"/>
          </w:tcPr>
          <w:p w:rsidR="00D34C1D" w:rsidRDefault="00D34C1D" w:rsidP="000178B4">
            <w:pPr>
              <w:tabs>
                <w:tab w:val="decimal" w:pos="601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29" w:type="dxa"/>
            </w:tcMar>
            <w:vAlign w:val="bottom"/>
          </w:tcPr>
          <w:p w:rsidR="00D34C1D" w:rsidRDefault="00D34C1D" w:rsidP="000178B4">
            <w:pPr>
              <w:tabs>
                <w:tab w:val="decimal" w:pos="619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tcMar>
              <w:left w:w="29" w:type="dxa"/>
              <w:bottom w:w="29" w:type="dxa"/>
            </w:tcMar>
          </w:tcPr>
          <w:p w:rsidR="00D34C1D" w:rsidRDefault="00D34C1D" w:rsidP="000178B4">
            <w:pPr>
              <w:tabs>
                <w:tab w:val="decimal" w:pos="63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</w:t>
            </w:r>
          </w:p>
        </w:tc>
      </w:tr>
      <w:tr w:rsidR="00D34C1D" w:rsidRPr="00FD1630" w:rsidTr="000178B4"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29" w:type="dxa"/>
            </w:tcMar>
            <w:vAlign w:val="bottom"/>
          </w:tcPr>
          <w:p w:rsidR="00D34C1D" w:rsidRDefault="00D34C1D" w:rsidP="000178B4">
            <w:pPr>
              <w:tabs>
                <w:tab w:val="decimal" w:pos="317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4.40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29" w:type="dxa"/>
            </w:tcMar>
            <w:vAlign w:val="bottom"/>
          </w:tcPr>
          <w:p w:rsidR="00D34C1D" w:rsidRDefault="00D34C1D" w:rsidP="000178B4">
            <w:pPr>
              <w:tabs>
                <w:tab w:val="decimal" w:pos="601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9" w:type="dxa"/>
              <w:bottom w:w="29" w:type="dxa"/>
            </w:tcMar>
            <w:vAlign w:val="bottom"/>
          </w:tcPr>
          <w:p w:rsidR="00D34C1D" w:rsidRDefault="00D34C1D" w:rsidP="000178B4">
            <w:pPr>
              <w:tabs>
                <w:tab w:val="decimal" w:pos="619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tcMar>
              <w:left w:w="29" w:type="dxa"/>
              <w:bottom w:w="29" w:type="dxa"/>
            </w:tcMar>
          </w:tcPr>
          <w:p w:rsidR="00D34C1D" w:rsidRDefault="00D34C1D" w:rsidP="000178B4">
            <w:pPr>
              <w:tabs>
                <w:tab w:val="decimal" w:pos="63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</w:t>
            </w:r>
          </w:p>
        </w:tc>
      </w:tr>
      <w:tr w:rsidR="00D34C1D" w:rsidRPr="00FD1630" w:rsidTr="000178B4"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9" w:type="dxa"/>
              <w:bottom w:w="144" w:type="dxa"/>
            </w:tcMar>
            <w:vAlign w:val="bottom"/>
          </w:tcPr>
          <w:p w:rsidR="00D34C1D" w:rsidRPr="00FD1630" w:rsidRDefault="00D34C1D" w:rsidP="000178B4">
            <w:pPr>
              <w:tabs>
                <w:tab w:val="decimal" w:pos="317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9" w:type="dxa"/>
              <w:bottom w:w="144" w:type="dxa"/>
            </w:tcMar>
            <w:vAlign w:val="bottom"/>
          </w:tcPr>
          <w:p w:rsidR="00D34C1D" w:rsidRPr="00FD1630" w:rsidRDefault="00D34C1D" w:rsidP="000178B4">
            <w:pPr>
              <w:tabs>
                <w:tab w:val="decimal" w:pos="601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9" w:type="dxa"/>
              <w:bottom w:w="144" w:type="dxa"/>
            </w:tcMar>
            <w:vAlign w:val="bottom"/>
          </w:tcPr>
          <w:p w:rsidR="00D34C1D" w:rsidRPr="00FD1630" w:rsidRDefault="00D34C1D" w:rsidP="000178B4">
            <w:pPr>
              <w:tabs>
                <w:tab w:val="decimal" w:pos="619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bottom w:w="144" w:type="dxa"/>
            </w:tcMar>
          </w:tcPr>
          <w:p w:rsidR="00D34C1D" w:rsidRDefault="00D34C1D" w:rsidP="000178B4">
            <w:pPr>
              <w:tabs>
                <w:tab w:val="decimal" w:pos="63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</w:t>
            </w:r>
          </w:p>
        </w:tc>
      </w:tr>
    </w:tbl>
    <w:p w:rsidR="00D34C1D" w:rsidRPr="00353655" w:rsidRDefault="00D34C1D" w:rsidP="00D34C1D">
      <w:pPr>
        <w:spacing w:line="120" w:lineRule="auto"/>
        <w:jc w:val="both"/>
        <w:rPr>
          <w:snapToGrid w:val="0"/>
        </w:rPr>
      </w:pPr>
    </w:p>
    <w:p w:rsidR="00D34C1D" w:rsidRDefault="00D34C1D" w:rsidP="00D34C1D">
      <w:pPr>
        <w:ind w:left="720" w:hanging="360"/>
        <w:jc w:val="both"/>
        <w:rPr>
          <w:snapToGrid w:val="0"/>
        </w:rPr>
      </w:pPr>
      <w:r w:rsidRPr="00353655">
        <w:rPr>
          <w:snapToGrid w:val="0"/>
        </w:rPr>
        <w:t>(a)</w:t>
      </w:r>
      <w:r w:rsidRPr="00353655">
        <w:rPr>
          <w:snapToGrid w:val="0"/>
        </w:rPr>
        <w:tab/>
        <w:t>Where is the “kink” in the demand curve?  What is the current selling price at that kink and how much output will be demanded?</w:t>
      </w:r>
    </w:p>
    <w:p w:rsidR="00D34C1D" w:rsidRPr="00353655" w:rsidRDefault="00D34C1D" w:rsidP="00D34C1D">
      <w:pPr>
        <w:ind w:left="720" w:hanging="360"/>
        <w:jc w:val="both"/>
        <w:rPr>
          <w:snapToGrid w:val="0"/>
        </w:rPr>
      </w:pPr>
      <w:r w:rsidRPr="00353655">
        <w:rPr>
          <w:snapToGrid w:val="0"/>
        </w:rPr>
        <w:t>(b)</w:t>
      </w:r>
      <w:r w:rsidRPr="00353655">
        <w:rPr>
          <w:snapToGrid w:val="0"/>
        </w:rPr>
        <w:tab/>
        <w:t>What is the range of marginal cost that will keep the price set at the kink?</w:t>
      </w:r>
    </w:p>
    <w:p w:rsidR="00D34C1D" w:rsidRPr="00353655" w:rsidRDefault="00D34C1D" w:rsidP="00D34C1D">
      <w:pPr>
        <w:jc w:val="both"/>
        <w:rPr>
          <w:snapToGrid w:val="0"/>
        </w:rPr>
      </w:pPr>
    </w:p>
    <w:p w:rsidR="00B61D64" w:rsidRDefault="00B61D64"/>
    <w:p w:rsidR="00D34C1D" w:rsidRDefault="00D34C1D" w:rsidP="00D34C1D">
      <w:pPr>
        <w:tabs>
          <w:tab w:val="right" w:pos="270"/>
        </w:tabs>
        <w:ind w:left="360" w:hanging="360"/>
        <w:jc w:val="both"/>
        <w:rPr>
          <w:snapToGrid w:val="0"/>
        </w:rPr>
      </w:pPr>
      <w:r w:rsidRPr="00353655">
        <w:rPr>
          <w:snapToGrid w:val="0"/>
        </w:rPr>
        <w:tab/>
      </w:r>
      <w:r w:rsidR="006C13E8">
        <w:rPr>
          <w:snapToGrid w:val="0"/>
        </w:rPr>
        <w:t>2</w:t>
      </w:r>
      <w:r w:rsidRPr="00353655">
        <w:rPr>
          <w:snapToGrid w:val="0"/>
        </w:rPr>
        <w:t>.</w:t>
      </w:r>
      <w:r w:rsidRPr="00353655">
        <w:rPr>
          <w:snapToGrid w:val="0"/>
        </w:rPr>
        <w:tab/>
        <w:t>What is the price leadership model of oligopoly pricing and what are its tactics?</w:t>
      </w:r>
    </w:p>
    <w:p w:rsidR="00FC7DC1" w:rsidRDefault="00FC7DC1" w:rsidP="00D34C1D">
      <w:pPr>
        <w:tabs>
          <w:tab w:val="right" w:pos="270"/>
        </w:tabs>
        <w:ind w:left="360" w:hanging="360"/>
        <w:jc w:val="both"/>
        <w:rPr>
          <w:snapToGrid w:val="0"/>
        </w:rPr>
      </w:pPr>
    </w:p>
    <w:p w:rsidR="00D34C1D" w:rsidRPr="00353655" w:rsidRDefault="00D34C1D" w:rsidP="00D34C1D">
      <w:pPr>
        <w:tabs>
          <w:tab w:val="right" w:pos="270"/>
        </w:tabs>
        <w:spacing w:after="120"/>
        <w:ind w:left="360" w:hanging="360"/>
        <w:jc w:val="both"/>
        <w:rPr>
          <w:snapToGrid w:val="0"/>
        </w:rPr>
      </w:pPr>
      <w:r w:rsidRPr="00353655">
        <w:rPr>
          <w:snapToGrid w:val="0"/>
        </w:rPr>
        <w:tab/>
      </w:r>
      <w:r w:rsidR="006C13E8">
        <w:rPr>
          <w:snapToGrid w:val="0"/>
        </w:rPr>
        <w:t>3</w:t>
      </w:r>
      <w:r w:rsidRPr="00353655">
        <w:rPr>
          <w:snapToGrid w:val="0"/>
        </w:rPr>
        <w:t>.</w:t>
      </w:r>
      <w:r w:rsidRPr="00353655">
        <w:rPr>
          <w:snapToGrid w:val="0"/>
        </w:rPr>
        <w:tab/>
        <w:t>Compare pure competition, pure monopoly, monopolistic competition, and oligopoly on each of the following points:</w:t>
      </w:r>
    </w:p>
    <w:p w:rsidR="00D34C1D" w:rsidRDefault="00D34C1D" w:rsidP="00D34C1D">
      <w:pPr>
        <w:ind w:left="720" w:hanging="360"/>
        <w:jc w:val="both"/>
        <w:rPr>
          <w:snapToGrid w:val="0"/>
        </w:rPr>
      </w:pPr>
      <w:r w:rsidRPr="00353655">
        <w:rPr>
          <w:snapToGrid w:val="0"/>
        </w:rPr>
        <w:t>(a)</w:t>
      </w:r>
      <w:r w:rsidRPr="00353655">
        <w:rPr>
          <w:snapToGrid w:val="0"/>
        </w:rPr>
        <w:tab/>
        <w:t>Ability to manipulate price.</w:t>
      </w:r>
    </w:p>
    <w:p w:rsidR="00D34C1D" w:rsidRDefault="00D34C1D" w:rsidP="00D34C1D">
      <w:pPr>
        <w:ind w:left="720" w:hanging="360"/>
        <w:jc w:val="both"/>
        <w:rPr>
          <w:snapToGrid w:val="0"/>
        </w:rPr>
      </w:pPr>
      <w:r w:rsidRPr="00353655">
        <w:rPr>
          <w:snapToGrid w:val="0"/>
        </w:rPr>
        <w:t>(b)</w:t>
      </w:r>
      <w:r w:rsidRPr="00353655">
        <w:rPr>
          <w:snapToGrid w:val="0"/>
        </w:rPr>
        <w:tab/>
        <w:t>Flexibility of prices.</w:t>
      </w:r>
    </w:p>
    <w:p w:rsidR="00D34C1D" w:rsidRDefault="00D34C1D" w:rsidP="00D34C1D">
      <w:pPr>
        <w:ind w:left="720" w:hanging="360"/>
        <w:jc w:val="both"/>
        <w:rPr>
          <w:snapToGrid w:val="0"/>
        </w:rPr>
      </w:pPr>
      <w:r w:rsidRPr="00353655">
        <w:rPr>
          <w:snapToGrid w:val="0"/>
        </w:rPr>
        <w:t>(c)</w:t>
      </w:r>
      <w:r w:rsidRPr="00353655">
        <w:rPr>
          <w:snapToGrid w:val="0"/>
        </w:rPr>
        <w:tab/>
        <w:t>Expenditures on advertising and sales promotion.</w:t>
      </w:r>
    </w:p>
    <w:p w:rsidR="00D34C1D" w:rsidRPr="00353655" w:rsidRDefault="00D34C1D" w:rsidP="00D34C1D">
      <w:pPr>
        <w:ind w:left="720" w:hanging="360"/>
        <w:jc w:val="both"/>
        <w:rPr>
          <w:snapToGrid w:val="0"/>
        </w:rPr>
      </w:pPr>
      <w:r w:rsidRPr="00353655">
        <w:rPr>
          <w:snapToGrid w:val="0"/>
        </w:rPr>
        <w:t>(d)</w:t>
      </w:r>
      <w:r w:rsidRPr="00353655">
        <w:rPr>
          <w:snapToGrid w:val="0"/>
        </w:rPr>
        <w:tab/>
        <w:t>Efficiency in allocation of resources.</w:t>
      </w:r>
    </w:p>
    <w:p w:rsidR="00D34C1D" w:rsidRPr="00353655" w:rsidRDefault="00D34C1D" w:rsidP="00D34C1D">
      <w:pPr>
        <w:pStyle w:val="Outline2"/>
        <w:tabs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</w:tabs>
        <w:spacing w:before="0" w:after="0"/>
        <w:ind w:left="0" w:firstLine="0"/>
        <w:jc w:val="both"/>
        <w:rPr>
          <w:sz w:val="20"/>
        </w:rPr>
      </w:pPr>
    </w:p>
    <w:p w:rsidR="00D34C1D" w:rsidRPr="00353655" w:rsidRDefault="00D34C1D" w:rsidP="00D34C1D">
      <w:pPr>
        <w:pStyle w:val="Outline2"/>
        <w:tabs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right" w:pos="270"/>
        </w:tabs>
        <w:spacing w:before="0" w:after="0"/>
        <w:ind w:left="360"/>
        <w:jc w:val="both"/>
        <w:rPr>
          <w:sz w:val="20"/>
        </w:rPr>
      </w:pPr>
      <w:r w:rsidRPr="00353655">
        <w:rPr>
          <w:sz w:val="20"/>
        </w:rPr>
        <w:tab/>
      </w:r>
      <w:r w:rsidR="006C13E8">
        <w:rPr>
          <w:sz w:val="20"/>
        </w:rPr>
        <w:t>4</w:t>
      </w:r>
      <w:r w:rsidRPr="00353655">
        <w:rPr>
          <w:sz w:val="20"/>
        </w:rPr>
        <w:t>.</w:t>
      </w:r>
      <w:r w:rsidRPr="00353655">
        <w:rPr>
          <w:sz w:val="20"/>
        </w:rPr>
        <w:tab/>
        <w:t>(Last Word</w:t>
      </w:r>
      <w:proofErr w:type="gramStart"/>
      <w:r w:rsidRPr="00353655">
        <w:rPr>
          <w:sz w:val="20"/>
        </w:rPr>
        <w:t>)  Describe</w:t>
      </w:r>
      <w:proofErr w:type="gramEnd"/>
      <w:r w:rsidRPr="00353655">
        <w:rPr>
          <w:sz w:val="20"/>
        </w:rPr>
        <w:t xml:space="preserve"> the major demand and supply factors that have turned the beer industry into an oligopoly over the years.</w:t>
      </w:r>
    </w:p>
    <w:p w:rsidR="00D34C1D" w:rsidRDefault="00D34C1D" w:rsidP="00D34C1D">
      <w:pPr>
        <w:rPr>
          <w:snapToGrid w:val="0"/>
        </w:rPr>
      </w:pPr>
    </w:p>
    <w:p w:rsidR="00801CBA" w:rsidRDefault="00D34C1D" w:rsidP="00D34C1D">
      <w:pPr>
        <w:rPr>
          <w:snapToGrid w:val="0"/>
        </w:rPr>
      </w:pPr>
      <w:r>
        <w:rPr>
          <w:snapToGrid w:val="0"/>
        </w:rPr>
        <w:t>5.  You are a consultant from DHS, Inc. to Low</w:t>
      </w:r>
      <w:r w:rsidR="00801CBA">
        <w:rPr>
          <w:snapToGrid w:val="0"/>
        </w:rPr>
        <w:t xml:space="preserve">e’s Home Improvement </w:t>
      </w:r>
      <w:proofErr w:type="gramStart"/>
      <w:r w:rsidR="00801CBA">
        <w:rPr>
          <w:snapToGrid w:val="0"/>
        </w:rPr>
        <w:t>Corp..</w:t>
      </w:r>
      <w:proofErr w:type="gramEnd"/>
      <w:r w:rsidR="00801CBA">
        <w:rPr>
          <w:snapToGrid w:val="0"/>
        </w:rPr>
        <w:t xml:space="preserve">  They are currently </w:t>
      </w:r>
      <w:r>
        <w:rPr>
          <w:snapToGrid w:val="0"/>
        </w:rPr>
        <w:t>build</w:t>
      </w:r>
      <w:r w:rsidR="00801CBA">
        <w:rPr>
          <w:snapToGrid w:val="0"/>
        </w:rPr>
        <w:t>ing</w:t>
      </w:r>
      <w:r>
        <w:rPr>
          <w:snapToGrid w:val="0"/>
        </w:rPr>
        <w:t xml:space="preserve"> a </w:t>
      </w:r>
      <w:r w:rsidR="00801CBA">
        <w:rPr>
          <w:snapToGrid w:val="0"/>
        </w:rPr>
        <w:t xml:space="preserve">new </w:t>
      </w:r>
      <w:r>
        <w:rPr>
          <w:snapToGrid w:val="0"/>
        </w:rPr>
        <w:t>st</w:t>
      </w:r>
      <w:r w:rsidR="00801CBA">
        <w:rPr>
          <w:snapToGrid w:val="0"/>
        </w:rPr>
        <w:t xml:space="preserve">ore on Route 1 in Norwalk. </w:t>
      </w:r>
    </w:p>
    <w:p w:rsidR="006C13E8" w:rsidRDefault="00801CBA" w:rsidP="00D34C1D">
      <w:pPr>
        <w:rPr>
          <w:snapToGrid w:val="0"/>
        </w:rPr>
      </w:pPr>
      <w:r>
        <w:rPr>
          <w:snapToGrid w:val="0"/>
        </w:rPr>
        <w:t>A. B</w:t>
      </w:r>
      <w:r w:rsidR="00D34C1D">
        <w:rPr>
          <w:snapToGrid w:val="0"/>
        </w:rPr>
        <w:t xml:space="preserve">ased on the First Mover and Preemption of Entry strategy advise them whether this </w:t>
      </w:r>
      <w:r w:rsidR="006C13E8">
        <w:rPr>
          <w:snapToGrid w:val="0"/>
        </w:rPr>
        <w:t xml:space="preserve">is a winning or losing strategy and </w:t>
      </w:r>
      <w:r>
        <w:rPr>
          <w:snapToGrid w:val="0"/>
        </w:rPr>
        <w:t xml:space="preserve">explain </w:t>
      </w:r>
      <w:r w:rsidR="006C13E8">
        <w:rPr>
          <w:snapToGrid w:val="0"/>
        </w:rPr>
        <w:t>why?</w:t>
      </w:r>
    </w:p>
    <w:p w:rsidR="00D34C1D" w:rsidRDefault="00801CBA" w:rsidP="00D34C1D">
      <w:r>
        <w:rPr>
          <w:snapToGrid w:val="0"/>
        </w:rPr>
        <w:t xml:space="preserve">B. </w:t>
      </w:r>
      <w:r w:rsidR="006C13E8">
        <w:rPr>
          <w:snapToGrid w:val="0"/>
        </w:rPr>
        <w:t xml:space="preserve">It would be surprising if Lowe’s wasn’t aware of these issues, so why do you think they </w:t>
      </w:r>
      <w:r>
        <w:rPr>
          <w:snapToGrid w:val="0"/>
        </w:rPr>
        <w:t>chose</w:t>
      </w:r>
      <w:r w:rsidR="006C13E8">
        <w:rPr>
          <w:snapToGrid w:val="0"/>
        </w:rPr>
        <w:t xml:space="preserve"> to enter the Norwalk/Darien/Westport/New Canaan market?</w:t>
      </w:r>
    </w:p>
    <w:sectPr w:rsidR="00D34C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C1D"/>
    <w:rsid w:val="006C13E8"/>
    <w:rsid w:val="007C6C6D"/>
    <w:rsid w:val="00801CBA"/>
    <w:rsid w:val="00B61D64"/>
    <w:rsid w:val="00D34C1D"/>
    <w:rsid w:val="00FC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utline2">
    <w:name w:val="Outline 2"/>
    <w:basedOn w:val="Normal"/>
    <w:rsid w:val="00D34C1D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spacing w:before="60" w:after="60"/>
      <w:ind w:left="1080" w:hanging="360"/>
      <w:outlineLvl w:val="1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utline2">
    <w:name w:val="Outline 2"/>
    <w:basedOn w:val="Normal"/>
    <w:rsid w:val="00D34C1D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spacing w:before="60" w:after="60"/>
      <w:ind w:left="1080" w:hanging="360"/>
      <w:outlineLvl w:val="1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Administrator</cp:lastModifiedBy>
  <cp:revision>3</cp:revision>
  <dcterms:created xsi:type="dcterms:W3CDTF">2015-01-30T18:41:00Z</dcterms:created>
  <dcterms:modified xsi:type="dcterms:W3CDTF">2015-01-30T18:46:00Z</dcterms:modified>
</cp:coreProperties>
</file>